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70" w:rsidRPr="00C35B4E" w:rsidRDefault="00C35B4E" w:rsidP="004941E1">
      <w:pPr>
        <w:rPr>
          <w:b/>
          <w:sz w:val="36"/>
          <w:szCs w:val="36"/>
        </w:rPr>
      </w:pPr>
      <w:r>
        <w:rPr>
          <w:b/>
          <w:sz w:val="36"/>
          <w:szCs w:val="36"/>
        </w:rPr>
        <w:t>W</w:t>
      </w:r>
      <w:r w:rsidRPr="00C35B4E">
        <w:rPr>
          <w:b/>
          <w:sz w:val="36"/>
          <w:szCs w:val="36"/>
        </w:rPr>
        <w:t xml:space="preserve">arum ist eine verfassunggebende Versammlung für die </w:t>
      </w:r>
      <w:r w:rsidRPr="00DF0A17">
        <w:rPr>
          <w:b/>
          <w:sz w:val="36"/>
          <w:szCs w:val="36"/>
          <w:u w:val="single"/>
        </w:rPr>
        <w:t>BRD</w:t>
      </w:r>
      <w:r w:rsidRPr="00C35B4E">
        <w:rPr>
          <w:b/>
          <w:sz w:val="36"/>
          <w:szCs w:val="36"/>
        </w:rPr>
        <w:t xml:space="preserve"> nicht möglich und warum können wir das Grundgesetz nicht einfach zur Verfassung machen?</w:t>
      </w:r>
    </w:p>
    <w:p w:rsidR="006E38D5" w:rsidRDefault="006E38D5" w:rsidP="004941E1">
      <w:pPr>
        <w:rPr>
          <w:rFonts w:cs="Arial"/>
          <w:shd w:val="clear" w:color="auto" w:fill="EEF1F6"/>
        </w:rPr>
      </w:pPr>
    </w:p>
    <w:p w:rsidR="00B16A6C" w:rsidRPr="00B16A6C" w:rsidRDefault="00B16A6C" w:rsidP="00B16A6C">
      <w:pPr>
        <w:rPr>
          <w:rFonts w:cs="Arial"/>
          <w:b/>
          <w:shd w:val="clear" w:color="auto" w:fill="EEF1F6"/>
        </w:rPr>
      </w:pPr>
      <w:r w:rsidRPr="00B16A6C">
        <w:rPr>
          <w:rFonts w:cs="Arial"/>
          <w:b/>
          <w:shd w:val="clear" w:color="auto" w:fill="EEF1F6"/>
        </w:rPr>
        <w:t>Was ist eine verfassunggebende Versammlung?</w:t>
      </w:r>
    </w:p>
    <w:p w:rsidR="00BC5AC8" w:rsidRPr="00BC5AC8" w:rsidRDefault="00BC5AC8" w:rsidP="00B16A6C">
      <w:pPr>
        <w:spacing w:after="120"/>
        <w:textAlignment w:val="baseline"/>
        <w:rPr>
          <w:rFonts w:eastAsia="Times New Roman" w:cs="Times New Roman"/>
          <w:lang w:eastAsia="de-DE"/>
        </w:rPr>
      </w:pPr>
      <w:r w:rsidRPr="00BC5AC8">
        <w:rPr>
          <w:rFonts w:eastAsia="Times New Roman" w:cs="Times New Roman"/>
          <w:lang w:eastAsia="de-DE"/>
        </w:rPr>
        <w:t>Die Verfassunggebende Versammlung ist die Zusammenkunft der Menschen des Verfassungsvolkes innerhalb eines festgelegten Staatsgebietes</w:t>
      </w:r>
      <w:r w:rsidR="00B16A6C" w:rsidRPr="00B16A6C">
        <w:rPr>
          <w:rFonts w:eastAsia="Times New Roman" w:cs="Times New Roman"/>
          <w:lang w:eastAsia="de-DE"/>
        </w:rPr>
        <w:t>.</w:t>
      </w:r>
      <w:r w:rsidRPr="00BC5AC8">
        <w:rPr>
          <w:rFonts w:eastAsia="Times New Roman" w:cs="Times New Roman"/>
          <w:lang w:eastAsia="de-DE"/>
        </w:rPr>
        <w:t xml:space="preserve"> Jeder Staatsbürger ist ein Teil der Verfassunggebenden Versammlung, sobald die Versammlung rechtswirksam ist. Bereits am 11. Oktober 2015 wurde die Rechtswirksamkeit hergestellt. Seit diesem Tage ist diese Verfassunggebende Versammlung aktiv</w:t>
      </w:r>
      <w:r w:rsidR="00B16A6C" w:rsidRPr="00B16A6C">
        <w:rPr>
          <w:rFonts w:eastAsia="Times New Roman" w:cs="Times New Roman"/>
          <w:lang w:eastAsia="de-DE"/>
        </w:rPr>
        <w:t>.</w:t>
      </w:r>
      <w:r w:rsidRPr="00BC5AC8">
        <w:rPr>
          <w:rFonts w:eastAsia="Times New Roman" w:cs="Times New Roman"/>
          <w:lang w:eastAsia="de-DE"/>
        </w:rPr>
        <w:t> </w:t>
      </w:r>
    </w:p>
    <w:p w:rsidR="00BC5AC8" w:rsidRPr="00BC5AC8" w:rsidRDefault="00BC5AC8" w:rsidP="00B16A6C">
      <w:pPr>
        <w:textAlignment w:val="baseline"/>
        <w:rPr>
          <w:rFonts w:eastAsia="Times New Roman" w:cs="Times New Roman"/>
          <w:lang w:eastAsia="de-DE"/>
        </w:rPr>
      </w:pPr>
      <w:r w:rsidRPr="00B16A6C">
        <w:rPr>
          <w:rFonts w:eastAsia="Times New Roman" w:cs="Times New Roman"/>
          <w:iCs/>
          <w:bdr w:val="none" w:sz="0" w:space="0" w:color="auto" w:frame="1"/>
          <w:lang w:eastAsia="de-DE"/>
        </w:rPr>
        <w:t>"Eine Verfassunggebende Versammlung besteht immer aus dem gesamten Verfassungsvolk. Die Verfassunggebende Versammlung</w:t>
      </w:r>
      <w:r w:rsidRPr="00B16A6C">
        <w:rPr>
          <w:rFonts w:eastAsia="Times New Roman" w:cs="Times New Roman"/>
          <w:bCs/>
          <w:iCs/>
          <w:bdr w:val="none" w:sz="0" w:space="0" w:color="auto" w:frame="1"/>
          <w:lang w:eastAsia="de-DE"/>
        </w:rPr>
        <w:t> </w:t>
      </w:r>
      <w:r w:rsidRPr="00B16A6C">
        <w:rPr>
          <w:rFonts w:eastAsia="Times New Roman" w:cs="Times New Roman"/>
          <w:iCs/>
          <w:bdr w:val="none" w:sz="0" w:space="0" w:color="auto" w:frame="1"/>
          <w:lang w:eastAsia="de-DE"/>
        </w:rPr>
        <w:t>ist</w:t>
      </w:r>
      <w:r w:rsidRPr="00B16A6C">
        <w:rPr>
          <w:rFonts w:eastAsia="Times New Roman" w:cs="Times New Roman"/>
          <w:bCs/>
          <w:iCs/>
          <w:bdr w:val="none" w:sz="0" w:space="0" w:color="auto" w:frame="1"/>
          <w:lang w:eastAsia="de-DE"/>
        </w:rPr>
        <w:t> </w:t>
      </w:r>
      <w:r w:rsidRPr="00B16A6C">
        <w:rPr>
          <w:rFonts w:eastAsia="Times New Roman" w:cs="Times New Roman"/>
          <w:iCs/>
          <w:bdr w:val="none" w:sz="0" w:space="0" w:color="auto" w:frame="1"/>
          <w:lang w:eastAsia="de-DE"/>
        </w:rPr>
        <w:t xml:space="preserve">eine überparteiliche, religionsunabhängige, außerparlamentarische und keine durch Eliten bestimmte politische Kraft, die durch höchstrichterliche Entscheidung weltweit, wie in der Bundesrepublik Deutschland durch das Bundesverfassungsgericht bestätigt wurde. Diese Bewegung entsteht aus der Mitte des Volkes, welche sich auf das international anerkannte und gültige Vertrags- und Völkergewohnheitsrecht beruft und auf dieser Grundlage bildet. Eine Verfassunggebende Versammlung ist der Ausdruck und die Umsetzung des Selbstbestimmungsrechts und der verfassunggebenden Gewalt der Völker. Dieses Recht aller Völker steht über jedem Staats- und jedem Bundes- oder Verwaltungsrecht, über jeder aktuellen und/oder vorherigen Verfassung, jedem Gesetz, jeder Verordnung und bedarf keiner Genehmigung durch vorhandene </w:t>
      </w:r>
      <w:r w:rsidRPr="00B16A6C">
        <w:rPr>
          <w:rFonts w:eastAsia="Times New Roman" w:cs="Times New Roman"/>
          <w:b/>
          <w:iCs/>
          <w:bdr w:val="none" w:sz="0" w:space="0" w:color="auto" w:frame="1"/>
          <w:lang w:eastAsia="de-DE"/>
        </w:rPr>
        <w:t>Staats</w:t>
      </w:r>
      <w:r w:rsidRPr="00B16A6C">
        <w:rPr>
          <w:rFonts w:eastAsia="Times New Roman" w:cs="Times New Roman"/>
          <w:iCs/>
          <w:bdr w:val="none" w:sz="0" w:space="0" w:color="auto" w:frame="1"/>
          <w:lang w:eastAsia="de-DE"/>
        </w:rPr>
        <w:t>- oder Verwaltungsorgane."</w:t>
      </w:r>
    </w:p>
    <w:p w:rsidR="006E38D5" w:rsidRDefault="006E38D5" w:rsidP="004941E1"/>
    <w:p w:rsidR="00AB4A1B" w:rsidRPr="00AB4A1B" w:rsidRDefault="00AB4A1B" w:rsidP="004941E1">
      <w:pPr>
        <w:rPr>
          <w:rStyle w:val="Fett"/>
          <w:rFonts w:ascii="inherit" w:hAnsi="inherit"/>
          <w:iCs/>
          <w:color w:val="333333"/>
          <w:bdr w:val="none" w:sz="0" w:space="0" w:color="auto" w:frame="1"/>
        </w:rPr>
      </w:pPr>
      <w:r w:rsidRPr="00AB4A1B">
        <w:rPr>
          <w:rStyle w:val="Fett"/>
          <w:rFonts w:ascii="inherit" w:hAnsi="inherit"/>
          <w:iCs/>
          <w:color w:val="333333"/>
          <w:bdr w:val="none" w:sz="0" w:space="0" w:color="auto" w:frame="1"/>
        </w:rPr>
        <w:t>Das Bundesverfassungsgericht bestätigt in seinem Urteil </w:t>
      </w:r>
      <w:hyperlink r:id="rId6" w:tgtFrame="_blank" w:history="1">
        <w:r w:rsidRPr="00AB4A1B">
          <w:rPr>
            <w:rStyle w:val="Fett"/>
            <w:rFonts w:ascii="inherit" w:hAnsi="inherit"/>
            <w:iCs/>
            <w:color w:val="800000"/>
            <w:bdr w:val="none" w:sz="0" w:space="0" w:color="auto" w:frame="1"/>
          </w:rPr>
          <w:t xml:space="preserve">BVerfG 2 </w:t>
        </w:r>
        <w:proofErr w:type="spellStart"/>
        <w:r w:rsidRPr="00AB4A1B">
          <w:rPr>
            <w:rStyle w:val="Fett"/>
            <w:rFonts w:ascii="inherit" w:hAnsi="inherit"/>
            <w:iCs/>
            <w:color w:val="800000"/>
            <w:bdr w:val="none" w:sz="0" w:space="0" w:color="auto" w:frame="1"/>
          </w:rPr>
          <w:t>BvG</w:t>
        </w:r>
        <w:proofErr w:type="spellEnd"/>
        <w:r w:rsidRPr="00AB4A1B">
          <w:rPr>
            <w:rStyle w:val="Fett"/>
            <w:rFonts w:ascii="inherit" w:hAnsi="inherit"/>
            <w:iCs/>
            <w:color w:val="800000"/>
            <w:bdr w:val="none" w:sz="0" w:space="0" w:color="auto" w:frame="1"/>
          </w:rPr>
          <w:t xml:space="preserve"> 1/51</w:t>
        </w:r>
      </w:hyperlink>
      <w:r w:rsidRPr="00AB4A1B">
        <w:rPr>
          <w:rStyle w:val="Fett"/>
          <w:rFonts w:ascii="inherit" w:hAnsi="inherit"/>
          <w:iCs/>
          <w:color w:val="333333"/>
          <w:bdr w:val="none" w:sz="0" w:space="0" w:color="auto" w:frame="1"/>
        </w:rPr>
        <w:t>, </w:t>
      </w:r>
      <w:r w:rsidRPr="00AB4A1B">
        <w:rPr>
          <w:rStyle w:val="Fett"/>
          <w:rFonts w:ascii="inherit" w:hAnsi="inherit"/>
          <w:iCs/>
          <w:color w:val="800000"/>
          <w:bdr w:val="none" w:sz="0" w:space="0" w:color="auto" w:frame="1"/>
        </w:rPr>
        <w:t>II. Senat, Leitsatz 21:</w:t>
      </w:r>
      <w:r w:rsidRPr="00AB4A1B">
        <w:rPr>
          <w:rStyle w:val="Fett"/>
          <w:rFonts w:ascii="inherit" w:hAnsi="inherit"/>
          <w:iCs/>
          <w:color w:val="333333"/>
          <w:bdr w:val="none" w:sz="0" w:space="0" w:color="auto" w:frame="1"/>
        </w:rPr>
        <w:t> "Eine verfassunggebende Versammlung ist ein weltweit anerkannter, völkerrechtlicher Akt und hat einen höheren rechtlichen Rang als die auf Grund der erlassenen Verfassung gewählte Volksvertretung. Sie ist im Besitz der verfassunggebenden Gewalt des Volkes."</w:t>
      </w:r>
    </w:p>
    <w:p w:rsidR="00AB4A1B" w:rsidRDefault="00AB4A1B" w:rsidP="004941E1">
      <w:bookmarkStart w:id="0" w:name="_GoBack"/>
      <w:bookmarkEnd w:id="0"/>
    </w:p>
    <w:p w:rsidR="00B16A6C" w:rsidRPr="00B16A6C" w:rsidRDefault="00B16A6C" w:rsidP="004941E1">
      <w:pPr>
        <w:rPr>
          <w:b/>
        </w:rPr>
      </w:pPr>
      <w:r w:rsidRPr="00B16A6C">
        <w:rPr>
          <w:b/>
        </w:rPr>
        <w:t>Warum ist eine VV für die BRD nicht möglich?</w:t>
      </w:r>
    </w:p>
    <w:p w:rsidR="00891B34" w:rsidRPr="00BC5AC8" w:rsidRDefault="00891B34" w:rsidP="004941E1">
      <w:r w:rsidRPr="00BC5AC8">
        <w:t>Die BRD ist nicht Deutschland</w:t>
      </w:r>
      <w:r w:rsidR="00B16A6C">
        <w:t xml:space="preserve"> (s</w:t>
      </w:r>
      <w:r w:rsidR="00B16A6C" w:rsidRPr="00BC5AC8">
        <w:t>ie tritt rechtswidr</w:t>
      </w:r>
      <w:r w:rsidR="00B16A6C">
        <w:t>ig unter dieser Bezeichnung auf)</w:t>
      </w:r>
      <w:r w:rsidRPr="00BC5AC8">
        <w:t xml:space="preserve">, </w:t>
      </w:r>
      <w:r w:rsidR="000A1CD3" w:rsidRPr="00BC5AC8">
        <w:t>und eine Verfassunggebende Versammlung ist für die BRD nicht möglich,</w:t>
      </w:r>
    </w:p>
    <w:p w:rsidR="00891B34" w:rsidRPr="00C35B4E" w:rsidRDefault="00891B34" w:rsidP="004941E1">
      <w:pPr>
        <w:pStyle w:val="Listenabsatz"/>
        <w:numPr>
          <w:ilvl w:val="0"/>
          <w:numId w:val="1"/>
        </w:numPr>
      </w:pPr>
      <w:r w:rsidRPr="00C35B4E">
        <w:t>weil die BRD nicht das 1990 freigegebene Gebiet und Staatswesen des Völkerrechtssubjekts Deutschland/Germany, mit der UN-Länderkennziffer 276, aus der Schlussakte der Potsdamer Konferenz vom 02.08.1945, sondern seit 03.10.1990 eine weitere Fremdverwaltung ist (in Form eines Vereinigten Wirtschaftsgebietes.</w:t>
      </w:r>
    </w:p>
    <w:p w:rsidR="00EB1A36" w:rsidRPr="00C35B4E" w:rsidRDefault="00891B34" w:rsidP="004941E1">
      <w:pPr>
        <w:pStyle w:val="Listenabsatz"/>
      </w:pPr>
      <w:r w:rsidRPr="00C35B4E">
        <w:t xml:space="preserve">Quellen: </w:t>
      </w:r>
    </w:p>
    <w:p w:rsidR="00891B34" w:rsidRPr="00C35B4E" w:rsidRDefault="00891B34" w:rsidP="004941E1">
      <w:pPr>
        <w:pStyle w:val="Listenabsatz"/>
        <w:numPr>
          <w:ilvl w:val="0"/>
          <w:numId w:val="4"/>
        </w:numPr>
      </w:pPr>
      <w:r w:rsidRPr="00C35B4E">
        <w:t>Artikel 133 GG:</w:t>
      </w:r>
      <w:r w:rsidRPr="00C35B4E">
        <w:rPr>
          <w:color w:val="0000FF"/>
        </w:rPr>
        <w:t xml:space="preserve"> </w:t>
      </w:r>
      <w:hyperlink r:id="rId7" w:history="1">
        <w:r w:rsidR="008668F7" w:rsidRPr="00C35B4E">
          <w:rPr>
            <w:rStyle w:val="Hyperlink"/>
          </w:rPr>
          <w:t>https://www.gesetz</w:t>
        </w:r>
        <w:r w:rsidR="008668F7" w:rsidRPr="00C35B4E">
          <w:rPr>
            <w:rStyle w:val="Hyperlink"/>
          </w:rPr>
          <w:t>e-im-internet.de/gg/art_133.html</w:t>
        </w:r>
      </w:hyperlink>
      <w:r w:rsidR="00C35B4E" w:rsidRPr="00C35B4E">
        <w:t xml:space="preserve"> </w:t>
      </w:r>
      <w:r w:rsidR="00C35B4E" w:rsidRPr="00C35B4E">
        <w:rPr>
          <w:rFonts w:cs="Arial"/>
          <w:shd w:val="clear" w:color="auto" w:fill="EEF1F6"/>
        </w:rPr>
        <w:t>Der Bund tritt in die Rechte und Pflichten der Verwaltung des Vereinigten Wirtschaftsgebietes ein.</w:t>
      </w:r>
    </w:p>
    <w:p w:rsidR="008668F7" w:rsidRPr="00C35B4E" w:rsidRDefault="008668F7" w:rsidP="004941E1">
      <w:pPr>
        <w:pStyle w:val="Listenabsatz"/>
        <w:numPr>
          <w:ilvl w:val="0"/>
          <w:numId w:val="4"/>
        </w:numPr>
      </w:pPr>
      <w:r w:rsidRPr="00C35B4E">
        <w:t>Potsdamer Konferenz:</w:t>
      </w:r>
      <w:r w:rsidRPr="00C35B4E">
        <w:rPr>
          <w:color w:val="0000FF"/>
        </w:rPr>
        <w:t xml:space="preserve"> </w:t>
      </w:r>
      <w:hyperlink r:id="rId8" w:history="1">
        <w:r w:rsidRPr="00C35B4E">
          <w:rPr>
            <w:rStyle w:val="Hyperlink"/>
          </w:rPr>
          <w:t>https://ulis-buecherecke.ch/pdf_neben_</w:t>
        </w:r>
        <w:r w:rsidRPr="00C35B4E">
          <w:rPr>
            <w:rStyle w:val="Hyperlink"/>
          </w:rPr>
          <w:t>dem_krieg/potsdamer_abkommen.pdf</w:t>
        </w:r>
      </w:hyperlink>
      <w:r w:rsidRPr="00C35B4E">
        <w:t xml:space="preserve"> (Die Staatsgrenzen sind die Grenzen vom 31.12.193</w:t>
      </w:r>
      <w:r w:rsidR="00C35B4E">
        <w:t xml:space="preserve">7. Sie wurden von den Alliierten festgelegt. </w:t>
      </w:r>
      <w:r w:rsidRPr="00C35B4E">
        <w:t xml:space="preserve"> </w:t>
      </w:r>
      <w:r w:rsidR="00C35B4E">
        <w:t>Die Grenzen entsprechen</w:t>
      </w:r>
      <w:r w:rsidRPr="00C35B4E">
        <w:t xml:space="preserve"> der BRD, DDR und den Gebieten in Polen)</w:t>
      </w:r>
      <w:r w:rsidR="00DF0A17">
        <w:t>. Nur für dieses gesamte Deutschland kann es eine Verfassung geben.</w:t>
      </w:r>
    </w:p>
    <w:p w:rsidR="00FE5D45" w:rsidRPr="00C35B4E" w:rsidRDefault="00FE5D45" w:rsidP="00FE5D45">
      <w:pPr>
        <w:pStyle w:val="Listenabsatz"/>
        <w:ind w:left="1790"/>
      </w:pPr>
    </w:p>
    <w:p w:rsidR="00891B34" w:rsidRPr="00C35B4E" w:rsidRDefault="00891B34" w:rsidP="004941E1">
      <w:pPr>
        <w:spacing w:after="120"/>
        <w:ind w:left="709"/>
        <w:textAlignment w:val="baseline"/>
        <w:rPr>
          <w:rFonts w:eastAsia="Times New Roman" w:cs="Times New Roman"/>
          <w:lang w:eastAsia="de-DE"/>
        </w:rPr>
      </w:pPr>
      <w:r w:rsidRPr="00C35B4E">
        <w:rPr>
          <w:rFonts w:eastAsia="Times New Roman" w:cs="Times New Roman"/>
          <w:lang w:eastAsia="de-DE"/>
        </w:rPr>
        <w:t>Deutschland war nur eine Gebietsbezeichnung und hatte keine staatsre</w:t>
      </w:r>
      <w:r w:rsidR="004941E1">
        <w:rPr>
          <w:rFonts w:eastAsia="Times New Roman" w:cs="Times New Roman"/>
          <w:lang w:eastAsia="de-DE"/>
        </w:rPr>
        <w:t>chtliche Bedeutung. Mit der Potsda</w:t>
      </w:r>
      <w:r w:rsidRPr="00C35B4E">
        <w:rPr>
          <w:rFonts w:eastAsia="Times New Roman" w:cs="Times New Roman"/>
          <w:lang w:eastAsia="de-DE"/>
        </w:rPr>
        <w:t>mer Konferenz haben die Alliierten aus der Bezeichnung Deutsches Reich Deutschland/Germany gemacht, weil sie das Deutsche Reich nicht Deutsches Reich nennen wollten. Aber es ist trotzdem das Deutsche Reich in seiner ursprünglichen Form.</w:t>
      </w:r>
      <w:r w:rsidR="00B81A50" w:rsidRPr="00C35B4E">
        <w:rPr>
          <w:rFonts w:eastAsia="Times New Roman" w:cs="Times New Roman"/>
          <w:lang w:eastAsia="de-DE"/>
        </w:rPr>
        <w:t xml:space="preserve"> </w:t>
      </w:r>
    </w:p>
    <w:p w:rsidR="00B81A50" w:rsidRPr="00C35B4E" w:rsidRDefault="00B81A50" w:rsidP="004941E1">
      <w:pPr>
        <w:spacing w:after="120"/>
        <w:ind w:left="709"/>
        <w:textAlignment w:val="baseline"/>
        <w:rPr>
          <w:rFonts w:eastAsia="Times New Roman" w:cs="Times New Roman"/>
          <w:lang w:eastAsia="de-DE"/>
        </w:rPr>
      </w:pPr>
      <w:r w:rsidRPr="00C35B4E">
        <w:rPr>
          <w:rFonts w:eastAsia="Times New Roman" w:cs="Times New Roman"/>
          <w:lang w:eastAsia="de-DE"/>
        </w:rPr>
        <w:t>Das Grundgesetz unterliegt diesen Vorbehaltsrechten, nur das Gebiet wurde aus dem Vertrag herausgelöst.</w:t>
      </w:r>
    </w:p>
    <w:p w:rsidR="00B81A50" w:rsidRPr="00C35B4E" w:rsidRDefault="00B81A50" w:rsidP="004941E1">
      <w:pPr>
        <w:pStyle w:val="Listenabsatz"/>
        <w:numPr>
          <w:ilvl w:val="0"/>
          <w:numId w:val="6"/>
        </w:numPr>
        <w:textAlignment w:val="baseline"/>
        <w:rPr>
          <w:rFonts w:eastAsia="Times New Roman" w:cs="Times New Roman"/>
          <w:lang w:eastAsia="de-DE"/>
        </w:rPr>
      </w:pPr>
      <w:r w:rsidRPr="00C35B4E">
        <w:rPr>
          <w:rFonts w:eastAsia="Times New Roman" w:cs="Times New Roman"/>
          <w:bCs/>
          <w:bdr w:val="none" w:sz="0" w:space="0" w:color="auto" w:frame="1"/>
          <w:lang w:eastAsia="de-DE"/>
        </w:rPr>
        <w:t xml:space="preserve">weil die BRD und ihr Grundgesetz seit 29. September 1990 kein Gebiet mehr nachweisen können und die BRD lediglich die dort lebende Bevölkerung, die keine eigene Verwaltung </w:t>
      </w:r>
      <w:r w:rsidRPr="00C35B4E">
        <w:rPr>
          <w:rFonts w:eastAsia="Times New Roman" w:cs="Times New Roman"/>
          <w:bCs/>
          <w:bdr w:val="none" w:sz="0" w:space="0" w:color="auto" w:frame="1"/>
          <w:lang w:eastAsia="de-DE"/>
        </w:rPr>
        <w:lastRenderedPageBreak/>
        <w:t>und keine eigenen staatlichen Strukturen besitzt, im Auftrage der UNO und der ehemaligen West-Alliierten weiterhin verwaltet.</w:t>
      </w:r>
    </w:p>
    <w:p w:rsidR="00B81A50" w:rsidRPr="00C35B4E" w:rsidRDefault="00B81A50" w:rsidP="004941E1">
      <w:pPr>
        <w:pStyle w:val="Listenabsatz"/>
        <w:ind w:left="786"/>
        <w:textAlignment w:val="baseline"/>
        <w:rPr>
          <w:rFonts w:eastAsia="Times New Roman" w:cs="Times New Roman"/>
          <w:lang w:eastAsia="de-DE"/>
        </w:rPr>
      </w:pPr>
      <w:r w:rsidRPr="00C35B4E">
        <w:rPr>
          <w:rFonts w:eastAsia="Times New Roman" w:cs="Times New Roman"/>
          <w:bCs/>
          <w:bdr w:val="none" w:sz="0" w:space="0" w:color="auto" w:frame="1"/>
          <w:lang w:eastAsia="de-DE"/>
        </w:rPr>
        <w:t>Quellen:</w:t>
      </w:r>
      <w:r w:rsidRPr="00C35B4E">
        <w:rPr>
          <w:rFonts w:eastAsia="Times New Roman" w:cs="Times New Roman"/>
          <w:lang w:eastAsia="de-DE"/>
        </w:rPr>
        <w:t xml:space="preserve"> Bundesgesetzblatt: </w:t>
      </w:r>
      <w:hyperlink r:id="rId9" w:history="1">
        <w:r w:rsidRPr="00C35B4E">
          <w:rPr>
            <w:rStyle w:val="Hyperlink"/>
            <w:rFonts w:eastAsia="Times New Roman" w:cs="Times New Roman"/>
            <w:lang w:eastAsia="de-DE"/>
          </w:rPr>
          <w:t>https://www.friedensvertrag.org/pdf/lexi</w:t>
        </w:r>
        <w:r w:rsidRPr="00C35B4E">
          <w:rPr>
            <w:rStyle w:val="Hyperlink"/>
            <w:rFonts w:eastAsia="Times New Roman" w:cs="Times New Roman"/>
            <w:lang w:eastAsia="de-DE"/>
          </w:rPr>
          <w:t>kon/18punkte/einigung_s0890.pdf</w:t>
        </w:r>
      </w:hyperlink>
    </w:p>
    <w:p w:rsidR="00557220" w:rsidRDefault="00B81A50" w:rsidP="004941E1">
      <w:pPr>
        <w:ind w:firstLine="708"/>
        <w:textAlignment w:val="baseline"/>
        <w:rPr>
          <w:rFonts w:eastAsia="Times New Roman" w:cs="Times New Roman"/>
          <w:bCs/>
          <w:bdr w:val="none" w:sz="0" w:space="0" w:color="auto" w:frame="1"/>
          <w:lang w:eastAsia="de-DE"/>
        </w:rPr>
      </w:pPr>
      <w:r w:rsidRPr="00C35B4E">
        <w:rPr>
          <w:rFonts w:eastAsia="Times New Roman" w:cs="Times New Roman"/>
          <w:bCs/>
          <w:bdr w:val="none" w:sz="0" w:space="0" w:color="auto" w:frame="1"/>
          <w:lang w:eastAsia="de-DE"/>
        </w:rPr>
        <w:t>Artikel 4 Absatz 2 (Aufhebung von Artikel 23)</w:t>
      </w:r>
      <w:r w:rsidR="00557220" w:rsidRPr="00C35B4E">
        <w:rPr>
          <w:rFonts w:eastAsia="Times New Roman" w:cs="Times New Roman"/>
          <w:bCs/>
          <w:bdr w:val="none" w:sz="0" w:space="0" w:color="auto" w:frame="1"/>
          <w:lang w:eastAsia="de-DE"/>
        </w:rPr>
        <w:t xml:space="preserve"> </w:t>
      </w:r>
    </w:p>
    <w:p w:rsidR="004723CC" w:rsidRPr="00C35B4E" w:rsidRDefault="004723CC" w:rsidP="004941E1">
      <w:pPr>
        <w:ind w:firstLine="708"/>
        <w:textAlignment w:val="baseline"/>
        <w:rPr>
          <w:rFonts w:eastAsia="Times New Roman" w:cs="Times New Roman"/>
          <w:bCs/>
          <w:bdr w:val="none" w:sz="0" w:space="0" w:color="auto" w:frame="1"/>
          <w:lang w:eastAsia="de-DE"/>
        </w:rPr>
      </w:pPr>
    </w:p>
    <w:p w:rsidR="00557220" w:rsidRPr="00C35B4E" w:rsidRDefault="00557220" w:rsidP="004941E1">
      <w:pPr>
        <w:pStyle w:val="Listenabsatz"/>
        <w:numPr>
          <w:ilvl w:val="0"/>
          <w:numId w:val="6"/>
        </w:numPr>
        <w:textAlignment w:val="baseline"/>
        <w:rPr>
          <w:rFonts w:eastAsia="Times New Roman" w:cs="Times New Roman"/>
          <w:lang w:eastAsia="de-DE"/>
        </w:rPr>
      </w:pPr>
      <w:r w:rsidRPr="00C35B4E">
        <w:rPr>
          <w:rFonts w:eastAsia="Times New Roman" w:cs="Times New Roman"/>
          <w:bCs/>
          <w:bdr w:val="none" w:sz="0" w:space="0" w:color="auto" w:frame="1"/>
          <w:lang w:eastAsia="de-DE"/>
        </w:rPr>
        <w:t xml:space="preserve">weil die BRD und das Grundgesetz seit 3. Oktober 1990 immer noch Besatzungsrecht für einen Teil/Staatsfragment von Deutschland/Germany sind, deren Grundgesetz </w:t>
      </w:r>
      <w:r w:rsidR="00BC5AC8">
        <w:rPr>
          <w:rFonts w:eastAsia="Times New Roman" w:cs="Times New Roman"/>
          <w:bCs/>
          <w:bdr w:val="none" w:sz="0" w:space="0" w:color="auto" w:frame="1"/>
          <w:lang w:eastAsia="de-DE"/>
        </w:rPr>
        <w:t xml:space="preserve">bis heute </w:t>
      </w:r>
      <w:r w:rsidRPr="00C35B4E">
        <w:rPr>
          <w:rFonts w:eastAsia="Times New Roman" w:cs="Times New Roman"/>
          <w:bCs/>
          <w:bdr w:val="none" w:sz="0" w:space="0" w:color="auto" w:frame="1"/>
          <w:lang w:eastAsia="de-DE"/>
        </w:rPr>
        <w:t>E</w:t>
      </w:r>
      <w:r w:rsidR="00BC5AC8">
        <w:rPr>
          <w:rFonts w:eastAsia="Times New Roman" w:cs="Times New Roman"/>
          <w:bCs/>
          <w:bdr w:val="none" w:sz="0" w:space="0" w:color="auto" w:frame="1"/>
          <w:lang w:eastAsia="de-DE"/>
        </w:rPr>
        <w:t>igentum der Alliierten</w:t>
      </w:r>
      <w:r w:rsidRPr="00C35B4E">
        <w:rPr>
          <w:rFonts w:eastAsia="Times New Roman" w:cs="Times New Roman"/>
          <w:bCs/>
          <w:bdr w:val="none" w:sz="0" w:space="0" w:color="auto" w:frame="1"/>
          <w:lang w:eastAsia="de-DE"/>
        </w:rPr>
        <w:t xml:space="preserve"> geblieben ist, Vorbehaltsrechte aus dem Überleitungsvertrag darauf liegen und die BRD daher eine reine Okkupationsverwaltung  ist.</w:t>
      </w:r>
    </w:p>
    <w:p w:rsidR="004941E1" w:rsidRDefault="00557220" w:rsidP="004941E1">
      <w:pPr>
        <w:pStyle w:val="Listenabsatz"/>
        <w:ind w:left="851"/>
        <w:rPr>
          <w:rFonts w:eastAsia="Times New Roman" w:cs="Times New Roman"/>
          <w:bCs/>
          <w:bdr w:val="none" w:sz="0" w:space="0" w:color="auto" w:frame="1"/>
          <w:lang w:eastAsia="de-DE"/>
        </w:rPr>
      </w:pPr>
      <w:r w:rsidRPr="00C35B4E">
        <w:rPr>
          <w:rFonts w:eastAsia="Times New Roman" w:cs="Times New Roman"/>
          <w:bCs/>
          <w:bdr w:val="none" w:sz="0" w:space="0" w:color="auto" w:frame="1"/>
          <w:lang w:eastAsia="de-DE"/>
        </w:rPr>
        <w:t xml:space="preserve">Quellen: </w:t>
      </w:r>
    </w:p>
    <w:p w:rsidR="00557220" w:rsidRDefault="00557220" w:rsidP="004941E1">
      <w:pPr>
        <w:pStyle w:val="Listenabsatz"/>
        <w:ind w:left="851"/>
      </w:pPr>
      <w:r w:rsidRPr="00C35B4E">
        <w:t xml:space="preserve">Potsdamer Konferenz: </w:t>
      </w:r>
      <w:hyperlink r:id="rId10" w:history="1">
        <w:r w:rsidRPr="00C35B4E">
          <w:rPr>
            <w:rStyle w:val="Hyperlink"/>
          </w:rPr>
          <w:t>https://ulis-buecherecke.ch/pdf_neben_dem_krieg/potsdamer_abkommen.pdf</w:t>
        </w:r>
      </w:hyperlink>
      <w:r w:rsidRPr="00C35B4E">
        <w:t xml:space="preserve"> (siehe oben) </w:t>
      </w:r>
    </w:p>
    <w:p w:rsidR="004723CC" w:rsidRPr="00C35B4E" w:rsidRDefault="004723CC" w:rsidP="004941E1">
      <w:pPr>
        <w:pStyle w:val="Listenabsatz"/>
        <w:ind w:left="851"/>
      </w:pPr>
    </w:p>
    <w:p w:rsidR="00557220" w:rsidRPr="00C35B4E" w:rsidRDefault="003A065B" w:rsidP="004941E1">
      <w:pPr>
        <w:pStyle w:val="Listenabsatz"/>
        <w:numPr>
          <w:ilvl w:val="0"/>
          <w:numId w:val="6"/>
        </w:numPr>
        <w:textAlignment w:val="baseline"/>
        <w:rPr>
          <w:rFonts w:eastAsia="Times New Roman" w:cs="Times New Roman"/>
          <w:lang w:eastAsia="de-DE"/>
        </w:rPr>
      </w:pPr>
      <w:r w:rsidRPr="00C35B4E">
        <w:rPr>
          <w:rFonts w:eastAsia="Times New Roman" w:cs="Times New Roman"/>
          <w:bCs/>
          <w:bdr w:val="none" w:sz="0" w:space="0" w:color="auto" w:frame="1"/>
          <w:lang w:eastAsia="de-DE"/>
        </w:rPr>
        <w:t>w</w:t>
      </w:r>
      <w:r w:rsidR="00557220" w:rsidRPr="00C35B4E">
        <w:rPr>
          <w:rFonts w:eastAsia="Times New Roman" w:cs="Times New Roman"/>
          <w:bCs/>
          <w:bdr w:val="none" w:sz="0" w:space="0" w:color="auto" w:frame="1"/>
          <w:lang w:eastAsia="de-DE"/>
        </w:rPr>
        <w:t>eil die BRD zwar nicht der Rechtsnachfolger des Dritten Reiches von Adolf Hitler ist, aber mit ihm identisch</w:t>
      </w:r>
      <w:r w:rsidR="004941E1">
        <w:rPr>
          <w:rFonts w:eastAsia="Times New Roman" w:cs="Times New Roman"/>
          <w:bCs/>
          <w:bdr w:val="none" w:sz="0" w:space="0" w:color="auto" w:frame="1"/>
          <w:lang w:eastAsia="de-DE"/>
        </w:rPr>
        <w:t xml:space="preserve"> ist</w:t>
      </w:r>
      <w:r w:rsidR="00557220" w:rsidRPr="00C35B4E">
        <w:rPr>
          <w:rFonts w:eastAsia="Times New Roman" w:cs="Times New Roman"/>
          <w:bCs/>
          <w:bdr w:val="none" w:sz="0" w:space="0" w:color="auto" w:frame="1"/>
          <w:lang w:eastAsia="de-DE"/>
        </w:rPr>
        <w:t>, so</w:t>
      </w:r>
      <w:r w:rsidR="004941E1">
        <w:rPr>
          <w:rFonts w:eastAsia="Times New Roman" w:cs="Times New Roman"/>
          <w:bCs/>
          <w:bdr w:val="none" w:sz="0" w:space="0" w:color="auto" w:frame="1"/>
          <w:lang w:eastAsia="de-DE"/>
        </w:rPr>
        <w:t xml:space="preserve"> dass</w:t>
      </w:r>
      <w:r w:rsidR="00557220" w:rsidRPr="00C35B4E">
        <w:rPr>
          <w:rFonts w:eastAsia="Times New Roman" w:cs="Times New Roman"/>
          <w:bCs/>
          <w:bdr w:val="none" w:sz="0" w:space="0" w:color="auto" w:frame="1"/>
          <w:lang w:eastAsia="de-DE"/>
        </w:rPr>
        <w:t xml:space="preserve"> eine "Verfassungsänderung", die von diesem Grundgesetz als rechtsnachfolgend abgeleitet wäre, die Übernahme der Rechtsnachfolge des Dritten Reiches bedeuten und erhebliche Schadenersatzansprüche anderer Nationen geg</w:t>
      </w:r>
      <w:r w:rsidRPr="00C35B4E">
        <w:rPr>
          <w:rFonts w:eastAsia="Times New Roman" w:cs="Times New Roman"/>
          <w:bCs/>
          <w:bdr w:val="none" w:sz="0" w:space="0" w:color="auto" w:frame="1"/>
          <w:lang w:eastAsia="de-DE"/>
        </w:rPr>
        <w:t>en Deutschland auslösen würde.</w:t>
      </w:r>
    </w:p>
    <w:p w:rsidR="003A065B" w:rsidRPr="00C35B4E" w:rsidRDefault="003A065B" w:rsidP="004941E1">
      <w:pPr>
        <w:pStyle w:val="Listenabsatz"/>
        <w:ind w:left="786"/>
        <w:textAlignment w:val="baseline"/>
        <w:rPr>
          <w:rFonts w:cs="Arial"/>
          <w:u w:val="single"/>
          <w:shd w:val="clear" w:color="auto" w:fill="FFFFFF"/>
        </w:rPr>
      </w:pPr>
      <w:r w:rsidRPr="00C35B4E">
        <w:rPr>
          <w:rFonts w:eastAsia="Times New Roman" w:cs="Times New Roman"/>
          <w:bCs/>
          <w:bdr w:val="none" w:sz="0" w:space="0" w:color="auto" w:frame="1"/>
          <w:lang w:eastAsia="de-DE"/>
        </w:rPr>
        <w:t xml:space="preserve">Quelle: </w:t>
      </w:r>
      <w:hyperlink r:id="rId11" w:history="1">
        <w:r w:rsidRPr="00C35B4E">
          <w:rPr>
            <w:rStyle w:val="Hyperlink"/>
            <w:rFonts w:cs="Arial"/>
            <w:shd w:val="clear" w:color="auto" w:fill="FFFFFF"/>
          </w:rPr>
          <w:t>http://www.freiheitistselbstbe</w:t>
        </w:r>
        <w:r w:rsidRPr="00C35B4E">
          <w:rPr>
            <w:rStyle w:val="Hyperlink"/>
            <w:rFonts w:cs="Arial"/>
            <w:shd w:val="clear" w:color="auto" w:fill="FFFFFF"/>
          </w:rPr>
          <w:t>stimmtesleben.de/pdf/2Bvf1-73.pdf</w:t>
        </w:r>
      </w:hyperlink>
      <w:r w:rsidRPr="00C35B4E">
        <w:rPr>
          <w:shd w:val="clear" w:color="auto" w:fill="FFFFFF"/>
        </w:rPr>
        <w:t xml:space="preserve"> Seite 5 von 10 III/1</w:t>
      </w:r>
    </w:p>
    <w:p w:rsidR="00B81A50" w:rsidRDefault="009D14F6" w:rsidP="004941E1">
      <w:pPr>
        <w:ind w:left="786"/>
        <w:textAlignment w:val="baseline"/>
        <w:rPr>
          <w:rFonts w:eastAsia="Times New Roman" w:cs="Times New Roman"/>
          <w:bCs/>
          <w:bdr w:val="none" w:sz="0" w:space="0" w:color="auto" w:frame="1"/>
          <w:lang w:eastAsia="de-DE"/>
        </w:rPr>
      </w:pPr>
      <w:r w:rsidRPr="00C35B4E">
        <w:rPr>
          <w:rFonts w:eastAsia="Times New Roman" w:cs="Times New Roman"/>
          <w:bCs/>
          <w:bdr w:val="none" w:sz="0" w:space="0" w:color="auto" w:frame="1"/>
          <w:lang w:eastAsia="de-DE"/>
        </w:rPr>
        <w:t>Eine Verfassungsänderung würde also eine Übernahme des Dritten Reiches bedeuten und somit erhebliche Schadensansprüche anderer Staaten gegenüber Deutschland auslösen. Wir sind im Moment nur Identisch mit dem dritten Reich. Wenn wir jedoch die Rechtsnachfolge antreten (durch die Änderung des Grundgesetzes in eine völkerrechtliche Verfassung), tritt eine Haftung ein für Schäden, die der vorherige Rechtsinhaber angerichtet hat, also die Schulden aus dem dritten Reich. Bisher konnte man uns nicht verklagen (haben schon einige versucht, z.B. Polen und Griechenland), da wir bisher nur identisch mit dem Dritten Reich sind.</w:t>
      </w:r>
      <w:r w:rsidR="004941E1">
        <w:rPr>
          <w:rFonts w:eastAsia="Times New Roman" w:cs="Times New Roman"/>
          <w:bCs/>
          <w:bdr w:val="none" w:sz="0" w:space="0" w:color="auto" w:frame="1"/>
          <w:lang w:eastAsia="de-DE"/>
        </w:rPr>
        <w:t xml:space="preserve"> </w:t>
      </w:r>
      <w:r w:rsidRPr="00C35B4E">
        <w:rPr>
          <w:rFonts w:eastAsia="Times New Roman" w:cs="Times New Roman"/>
          <w:bCs/>
          <w:bdr w:val="none" w:sz="0" w:space="0" w:color="auto" w:frame="1"/>
          <w:lang w:eastAsia="de-DE"/>
        </w:rPr>
        <w:t xml:space="preserve">Wenn wir Reparationszahlungen aus den beiden Weltkriegen leisten müssen, werden wir die nächsten 100 bis 200 Jahre verschuldet sein. Eigentlich muss man zuerst schauen, wer die </w:t>
      </w:r>
      <w:r w:rsidR="004941E1">
        <w:rPr>
          <w:rFonts w:eastAsia="Times New Roman" w:cs="Times New Roman"/>
          <w:bCs/>
          <w:bdr w:val="none" w:sz="0" w:space="0" w:color="auto" w:frame="1"/>
          <w:lang w:eastAsia="de-DE"/>
        </w:rPr>
        <w:t xml:space="preserve">wirklichen </w:t>
      </w:r>
      <w:r w:rsidRPr="00C35B4E">
        <w:rPr>
          <w:rFonts w:eastAsia="Times New Roman" w:cs="Times New Roman"/>
          <w:bCs/>
          <w:bdr w:val="none" w:sz="0" w:space="0" w:color="auto" w:frame="1"/>
          <w:lang w:eastAsia="de-DE"/>
        </w:rPr>
        <w:t xml:space="preserve">Kriegsauslöser </w:t>
      </w:r>
      <w:r w:rsidR="004941E1">
        <w:rPr>
          <w:rFonts w:eastAsia="Times New Roman" w:cs="Times New Roman"/>
          <w:bCs/>
          <w:bdr w:val="none" w:sz="0" w:space="0" w:color="auto" w:frame="1"/>
          <w:lang w:eastAsia="de-DE"/>
        </w:rPr>
        <w:t>waren</w:t>
      </w:r>
      <w:r w:rsidRPr="00C35B4E">
        <w:rPr>
          <w:rFonts w:eastAsia="Times New Roman" w:cs="Times New Roman"/>
          <w:bCs/>
          <w:bdr w:val="none" w:sz="0" w:space="0" w:color="auto" w:frame="1"/>
          <w:lang w:eastAsia="de-DE"/>
        </w:rPr>
        <w:t>, denn das waren nicht wir.</w:t>
      </w:r>
    </w:p>
    <w:p w:rsidR="004723CC" w:rsidRPr="00C35B4E" w:rsidRDefault="004723CC" w:rsidP="004941E1">
      <w:pPr>
        <w:ind w:left="786"/>
        <w:textAlignment w:val="baseline"/>
        <w:rPr>
          <w:rFonts w:eastAsia="Times New Roman" w:cs="Times New Roman"/>
          <w:bCs/>
          <w:bdr w:val="none" w:sz="0" w:space="0" w:color="auto" w:frame="1"/>
          <w:lang w:eastAsia="de-DE"/>
        </w:rPr>
      </w:pPr>
    </w:p>
    <w:p w:rsidR="009D14F6" w:rsidRPr="004941E1" w:rsidRDefault="009D14F6" w:rsidP="004941E1">
      <w:pPr>
        <w:pStyle w:val="Listenabsatz"/>
        <w:numPr>
          <w:ilvl w:val="0"/>
          <w:numId w:val="6"/>
        </w:numPr>
        <w:textAlignment w:val="baseline"/>
        <w:rPr>
          <w:rFonts w:eastAsia="Times New Roman" w:cs="Times New Roman"/>
          <w:lang w:eastAsia="de-DE"/>
        </w:rPr>
      </w:pPr>
      <w:r w:rsidRPr="004941E1">
        <w:rPr>
          <w:rFonts w:eastAsia="Times New Roman" w:cs="Times New Roman"/>
          <w:bCs/>
          <w:bdr w:val="none" w:sz="0" w:space="0" w:color="auto" w:frame="1"/>
          <w:lang w:eastAsia="de-DE"/>
        </w:rPr>
        <w:t>weil eine Verfassunggebende Versammlung nur im Völkerrecht möglich ist, ein Staats- und Verfassungsvolk und ein definiertes Gebiet voraussetzt und die BRD beide Dinge nicht vorweisen kann</w:t>
      </w:r>
      <w:r w:rsidR="004941E1" w:rsidRPr="004941E1">
        <w:rPr>
          <w:rFonts w:eastAsia="Times New Roman" w:cs="Times New Roman"/>
          <w:bCs/>
          <w:bdr w:val="none" w:sz="0" w:space="0" w:color="auto" w:frame="1"/>
          <w:lang w:eastAsia="de-DE"/>
        </w:rPr>
        <w:t>.</w:t>
      </w:r>
    </w:p>
    <w:p w:rsidR="004941E1" w:rsidRPr="00C35B4E" w:rsidRDefault="004941E1" w:rsidP="004941E1">
      <w:pPr>
        <w:pStyle w:val="Listenabsatz"/>
        <w:ind w:left="851"/>
        <w:textAlignment w:val="baseline"/>
        <w:rPr>
          <w:rFonts w:eastAsia="Times New Roman" w:cs="Times New Roman"/>
          <w:lang w:eastAsia="de-DE"/>
        </w:rPr>
      </w:pPr>
      <w:r>
        <w:rPr>
          <w:rFonts w:eastAsia="Times New Roman" w:cs="Times New Roman"/>
          <w:lang w:eastAsia="de-DE"/>
        </w:rPr>
        <w:t xml:space="preserve">Quellen: </w:t>
      </w:r>
      <w:r w:rsidRPr="00C35B4E">
        <w:rPr>
          <w:rFonts w:eastAsia="Times New Roman" w:cs="Times New Roman"/>
          <w:lang w:eastAsia="de-DE"/>
        </w:rPr>
        <w:t xml:space="preserve">Bundesgesetzblatt: </w:t>
      </w:r>
      <w:hyperlink r:id="rId12" w:history="1">
        <w:r w:rsidRPr="00C35B4E">
          <w:rPr>
            <w:rStyle w:val="Hyperlink"/>
            <w:rFonts w:eastAsia="Times New Roman" w:cs="Times New Roman"/>
            <w:lang w:eastAsia="de-DE"/>
          </w:rPr>
          <w:t>https://www.friedensvertrag.org/pdf/lexikon/18punkte/einigung_s0890.pdf</w:t>
        </w:r>
      </w:hyperlink>
    </w:p>
    <w:p w:rsidR="004941E1" w:rsidRPr="00C35B4E" w:rsidRDefault="004941E1" w:rsidP="004941E1">
      <w:pPr>
        <w:ind w:left="851"/>
        <w:textAlignment w:val="baseline"/>
        <w:rPr>
          <w:rFonts w:eastAsia="Times New Roman" w:cs="Times New Roman"/>
          <w:bCs/>
          <w:bdr w:val="none" w:sz="0" w:space="0" w:color="auto" w:frame="1"/>
          <w:lang w:eastAsia="de-DE"/>
        </w:rPr>
      </w:pPr>
      <w:r w:rsidRPr="00C35B4E">
        <w:rPr>
          <w:rFonts w:eastAsia="Times New Roman" w:cs="Times New Roman"/>
          <w:bCs/>
          <w:bdr w:val="none" w:sz="0" w:space="0" w:color="auto" w:frame="1"/>
          <w:lang w:eastAsia="de-DE"/>
        </w:rPr>
        <w:t xml:space="preserve">Artikel 4 Absatz 2 (Aufhebung von Artikel 23) </w:t>
      </w:r>
    </w:p>
    <w:p w:rsidR="004941E1" w:rsidRDefault="00755BB6" w:rsidP="004941E1">
      <w:pPr>
        <w:ind w:left="851"/>
      </w:pPr>
      <w:hyperlink r:id="rId13" w:history="1">
        <w:r w:rsidR="004941E1" w:rsidRPr="0062359B">
          <w:rPr>
            <w:rStyle w:val="Hyperlink"/>
          </w:rPr>
          <w:t>https://www.bundestag.de/presse/hib/565650-565650</w:t>
        </w:r>
      </w:hyperlink>
      <w:r w:rsidR="004941E1">
        <w:t xml:space="preserve"> Personalausweis ist kein Nachweis für die deutsche Staatsbürgerschaft</w:t>
      </w:r>
    </w:p>
    <w:p w:rsidR="004723CC" w:rsidRDefault="004723CC" w:rsidP="004941E1">
      <w:pPr>
        <w:ind w:left="851"/>
      </w:pPr>
    </w:p>
    <w:p w:rsidR="004941E1" w:rsidRPr="004723CC" w:rsidRDefault="004723CC" w:rsidP="004941E1">
      <w:pPr>
        <w:pStyle w:val="Listenabsatz"/>
        <w:numPr>
          <w:ilvl w:val="0"/>
          <w:numId w:val="6"/>
        </w:numPr>
        <w:ind w:left="851"/>
        <w:textAlignment w:val="baseline"/>
        <w:rPr>
          <w:rFonts w:eastAsia="Times New Roman" w:cs="Times New Roman"/>
          <w:lang w:eastAsia="de-DE"/>
        </w:rPr>
      </w:pPr>
      <w:r>
        <w:t>und weil es da noch die Feindstaatenklausel gibt. Das ist ein Thema für sich und ergibt noch einmal einen eigenen Vortrag.</w:t>
      </w:r>
      <w:r w:rsidR="00576908">
        <w:t xml:space="preserve"> Nur kurz: Unsere Politiker haben eine Feinderklärung unterschrieben gegen uns Deutsche, indem sie der UNO beigetreten sind.</w:t>
      </w:r>
    </w:p>
    <w:p w:rsidR="00557220" w:rsidRPr="00C35B4E" w:rsidRDefault="00557220" w:rsidP="004941E1">
      <w:pPr>
        <w:ind w:left="851"/>
        <w:textAlignment w:val="baseline"/>
        <w:rPr>
          <w:rFonts w:eastAsia="Times New Roman" w:cs="Times New Roman"/>
          <w:bCs/>
          <w:bdr w:val="none" w:sz="0" w:space="0" w:color="auto" w:frame="1"/>
          <w:lang w:eastAsia="de-DE"/>
        </w:rPr>
      </w:pPr>
    </w:p>
    <w:sectPr w:rsidR="00557220" w:rsidRPr="00C35B4E" w:rsidSect="0057690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1149"/>
    <w:multiLevelType w:val="hybridMultilevel"/>
    <w:tmpl w:val="1B9239C8"/>
    <w:lvl w:ilvl="0" w:tplc="04070003">
      <w:start w:val="1"/>
      <w:numFmt w:val="bullet"/>
      <w:lvlText w:val="o"/>
      <w:lvlJc w:val="left"/>
      <w:pPr>
        <w:ind w:left="1070" w:hanging="360"/>
      </w:pPr>
      <w:rPr>
        <w:rFonts w:ascii="Courier New" w:hAnsi="Courier New" w:cs="Courier New" w:hint="default"/>
      </w:rPr>
    </w:lvl>
    <w:lvl w:ilvl="1" w:tplc="04070005">
      <w:start w:val="1"/>
      <w:numFmt w:val="bullet"/>
      <w:lvlText w:val=""/>
      <w:lvlJc w:val="left"/>
      <w:pPr>
        <w:ind w:left="1790" w:hanging="360"/>
      </w:pPr>
      <w:rPr>
        <w:rFonts w:ascii="Wingdings" w:hAnsi="Wingdings"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nsid w:val="34987659"/>
    <w:multiLevelType w:val="hybridMultilevel"/>
    <w:tmpl w:val="31AC074C"/>
    <w:lvl w:ilvl="0" w:tplc="04070001">
      <w:start w:val="1"/>
      <w:numFmt w:val="bullet"/>
      <w:lvlText w:val=""/>
      <w:lvlJc w:val="left"/>
      <w:pPr>
        <w:ind w:left="786" w:hanging="360"/>
      </w:pPr>
      <w:rPr>
        <w:rFonts w:ascii="Symbol" w:hAnsi="Symbol" w:hint="default"/>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3CFF48CF"/>
    <w:multiLevelType w:val="hybridMultilevel"/>
    <w:tmpl w:val="FCA04F6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6A3F37"/>
    <w:multiLevelType w:val="hybridMultilevel"/>
    <w:tmpl w:val="B9D4A5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A93C1A"/>
    <w:multiLevelType w:val="hybridMultilevel"/>
    <w:tmpl w:val="9A88F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733BCD"/>
    <w:multiLevelType w:val="hybridMultilevel"/>
    <w:tmpl w:val="584854BC"/>
    <w:lvl w:ilvl="0" w:tplc="04070005">
      <w:start w:val="1"/>
      <w:numFmt w:val="bullet"/>
      <w:lvlText w:val=""/>
      <w:lvlJc w:val="left"/>
      <w:pPr>
        <w:ind w:left="1790" w:hanging="360"/>
      </w:pPr>
      <w:rPr>
        <w:rFonts w:ascii="Wingdings" w:hAnsi="Wingdings" w:hint="default"/>
      </w:rPr>
    </w:lvl>
    <w:lvl w:ilvl="1" w:tplc="04070003" w:tentative="1">
      <w:start w:val="1"/>
      <w:numFmt w:val="bullet"/>
      <w:lvlText w:val="o"/>
      <w:lvlJc w:val="left"/>
      <w:pPr>
        <w:ind w:left="2510" w:hanging="360"/>
      </w:pPr>
      <w:rPr>
        <w:rFonts w:ascii="Courier New" w:hAnsi="Courier New" w:cs="Courier New" w:hint="default"/>
      </w:rPr>
    </w:lvl>
    <w:lvl w:ilvl="2" w:tplc="04070005" w:tentative="1">
      <w:start w:val="1"/>
      <w:numFmt w:val="bullet"/>
      <w:lvlText w:val=""/>
      <w:lvlJc w:val="left"/>
      <w:pPr>
        <w:ind w:left="3230" w:hanging="360"/>
      </w:pPr>
      <w:rPr>
        <w:rFonts w:ascii="Wingdings" w:hAnsi="Wingdings" w:hint="default"/>
      </w:rPr>
    </w:lvl>
    <w:lvl w:ilvl="3" w:tplc="04070001" w:tentative="1">
      <w:start w:val="1"/>
      <w:numFmt w:val="bullet"/>
      <w:lvlText w:val=""/>
      <w:lvlJc w:val="left"/>
      <w:pPr>
        <w:ind w:left="3950" w:hanging="360"/>
      </w:pPr>
      <w:rPr>
        <w:rFonts w:ascii="Symbol" w:hAnsi="Symbol" w:hint="default"/>
      </w:rPr>
    </w:lvl>
    <w:lvl w:ilvl="4" w:tplc="04070003" w:tentative="1">
      <w:start w:val="1"/>
      <w:numFmt w:val="bullet"/>
      <w:lvlText w:val="o"/>
      <w:lvlJc w:val="left"/>
      <w:pPr>
        <w:ind w:left="4670" w:hanging="360"/>
      </w:pPr>
      <w:rPr>
        <w:rFonts w:ascii="Courier New" w:hAnsi="Courier New" w:cs="Courier New" w:hint="default"/>
      </w:rPr>
    </w:lvl>
    <w:lvl w:ilvl="5" w:tplc="04070005" w:tentative="1">
      <w:start w:val="1"/>
      <w:numFmt w:val="bullet"/>
      <w:lvlText w:val=""/>
      <w:lvlJc w:val="left"/>
      <w:pPr>
        <w:ind w:left="5390" w:hanging="360"/>
      </w:pPr>
      <w:rPr>
        <w:rFonts w:ascii="Wingdings" w:hAnsi="Wingdings" w:hint="default"/>
      </w:rPr>
    </w:lvl>
    <w:lvl w:ilvl="6" w:tplc="04070001" w:tentative="1">
      <w:start w:val="1"/>
      <w:numFmt w:val="bullet"/>
      <w:lvlText w:val=""/>
      <w:lvlJc w:val="left"/>
      <w:pPr>
        <w:ind w:left="6110" w:hanging="360"/>
      </w:pPr>
      <w:rPr>
        <w:rFonts w:ascii="Symbol" w:hAnsi="Symbol" w:hint="default"/>
      </w:rPr>
    </w:lvl>
    <w:lvl w:ilvl="7" w:tplc="04070003" w:tentative="1">
      <w:start w:val="1"/>
      <w:numFmt w:val="bullet"/>
      <w:lvlText w:val="o"/>
      <w:lvlJc w:val="left"/>
      <w:pPr>
        <w:ind w:left="6830" w:hanging="360"/>
      </w:pPr>
      <w:rPr>
        <w:rFonts w:ascii="Courier New" w:hAnsi="Courier New" w:cs="Courier New" w:hint="default"/>
      </w:rPr>
    </w:lvl>
    <w:lvl w:ilvl="8" w:tplc="04070005" w:tentative="1">
      <w:start w:val="1"/>
      <w:numFmt w:val="bullet"/>
      <w:lvlText w:val=""/>
      <w:lvlJc w:val="left"/>
      <w:pPr>
        <w:ind w:left="755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D5"/>
    <w:rsid w:val="000A1CD3"/>
    <w:rsid w:val="00213370"/>
    <w:rsid w:val="003A065B"/>
    <w:rsid w:val="004723CC"/>
    <w:rsid w:val="004941E1"/>
    <w:rsid w:val="00557220"/>
    <w:rsid w:val="00576908"/>
    <w:rsid w:val="006E38D5"/>
    <w:rsid w:val="00755BB6"/>
    <w:rsid w:val="008668F7"/>
    <w:rsid w:val="00891B34"/>
    <w:rsid w:val="009D14F6"/>
    <w:rsid w:val="00A2474C"/>
    <w:rsid w:val="00A77210"/>
    <w:rsid w:val="00AB4A1B"/>
    <w:rsid w:val="00B16A6C"/>
    <w:rsid w:val="00B81A50"/>
    <w:rsid w:val="00BC5AC8"/>
    <w:rsid w:val="00C35B4E"/>
    <w:rsid w:val="00DF0A17"/>
    <w:rsid w:val="00EB1A36"/>
    <w:rsid w:val="00FE5D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38D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E38D5"/>
    <w:rPr>
      <w:b/>
      <w:bCs/>
    </w:rPr>
  </w:style>
  <w:style w:type="character" w:styleId="Hyperlink">
    <w:name w:val="Hyperlink"/>
    <w:basedOn w:val="Absatz-Standardschriftart"/>
    <w:uiPriority w:val="99"/>
    <w:unhideWhenUsed/>
    <w:rsid w:val="006E38D5"/>
    <w:rPr>
      <w:color w:val="0000FF"/>
      <w:u w:val="single"/>
    </w:rPr>
  </w:style>
  <w:style w:type="character" w:styleId="Hervorhebung">
    <w:name w:val="Emphasis"/>
    <w:basedOn w:val="Absatz-Standardschriftart"/>
    <w:uiPriority w:val="20"/>
    <w:qFormat/>
    <w:rsid w:val="006E38D5"/>
    <w:rPr>
      <w:i/>
      <w:iCs/>
    </w:rPr>
  </w:style>
  <w:style w:type="paragraph" w:styleId="Listenabsatz">
    <w:name w:val="List Paragraph"/>
    <w:basedOn w:val="Standard"/>
    <w:uiPriority w:val="34"/>
    <w:qFormat/>
    <w:rsid w:val="00891B34"/>
    <w:pPr>
      <w:ind w:left="720"/>
      <w:contextualSpacing/>
    </w:pPr>
  </w:style>
  <w:style w:type="character" w:styleId="BesuchterHyperlink">
    <w:name w:val="FollowedHyperlink"/>
    <w:basedOn w:val="Absatz-Standardschriftart"/>
    <w:uiPriority w:val="99"/>
    <w:semiHidden/>
    <w:unhideWhenUsed/>
    <w:rsid w:val="00DF0A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E38D5"/>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E38D5"/>
    <w:rPr>
      <w:b/>
      <w:bCs/>
    </w:rPr>
  </w:style>
  <w:style w:type="character" w:styleId="Hyperlink">
    <w:name w:val="Hyperlink"/>
    <w:basedOn w:val="Absatz-Standardschriftart"/>
    <w:uiPriority w:val="99"/>
    <w:unhideWhenUsed/>
    <w:rsid w:val="006E38D5"/>
    <w:rPr>
      <w:color w:val="0000FF"/>
      <w:u w:val="single"/>
    </w:rPr>
  </w:style>
  <w:style w:type="character" w:styleId="Hervorhebung">
    <w:name w:val="Emphasis"/>
    <w:basedOn w:val="Absatz-Standardschriftart"/>
    <w:uiPriority w:val="20"/>
    <w:qFormat/>
    <w:rsid w:val="006E38D5"/>
    <w:rPr>
      <w:i/>
      <w:iCs/>
    </w:rPr>
  </w:style>
  <w:style w:type="paragraph" w:styleId="Listenabsatz">
    <w:name w:val="List Paragraph"/>
    <w:basedOn w:val="Standard"/>
    <w:uiPriority w:val="34"/>
    <w:qFormat/>
    <w:rsid w:val="00891B34"/>
    <w:pPr>
      <w:ind w:left="720"/>
      <w:contextualSpacing/>
    </w:pPr>
  </w:style>
  <w:style w:type="character" w:styleId="BesuchterHyperlink">
    <w:name w:val="FollowedHyperlink"/>
    <w:basedOn w:val="Absatz-Standardschriftart"/>
    <w:uiPriority w:val="99"/>
    <w:semiHidden/>
    <w:unhideWhenUsed/>
    <w:rsid w:val="00DF0A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6017">
      <w:bodyDiv w:val="1"/>
      <w:marLeft w:val="0"/>
      <w:marRight w:val="0"/>
      <w:marTop w:val="0"/>
      <w:marBottom w:val="0"/>
      <w:divBdr>
        <w:top w:val="none" w:sz="0" w:space="0" w:color="auto"/>
        <w:left w:val="none" w:sz="0" w:space="0" w:color="auto"/>
        <w:bottom w:val="none" w:sz="0" w:space="0" w:color="auto"/>
        <w:right w:val="none" w:sz="0" w:space="0" w:color="auto"/>
      </w:divBdr>
      <w:divsChild>
        <w:div w:id="1134786992">
          <w:marLeft w:val="0"/>
          <w:marRight w:val="0"/>
          <w:marTop w:val="0"/>
          <w:marBottom w:val="240"/>
          <w:divBdr>
            <w:top w:val="none" w:sz="0" w:space="0" w:color="auto"/>
            <w:left w:val="none" w:sz="0" w:space="0" w:color="auto"/>
            <w:bottom w:val="none" w:sz="0" w:space="0" w:color="auto"/>
            <w:right w:val="none" w:sz="0" w:space="0" w:color="auto"/>
          </w:divBdr>
          <w:divsChild>
            <w:div w:id="2088921577">
              <w:marLeft w:val="0"/>
              <w:marRight w:val="0"/>
              <w:marTop w:val="0"/>
              <w:marBottom w:val="0"/>
              <w:divBdr>
                <w:top w:val="none" w:sz="0" w:space="0" w:color="auto"/>
                <w:left w:val="none" w:sz="0" w:space="0" w:color="auto"/>
                <w:bottom w:val="none" w:sz="0" w:space="0" w:color="auto"/>
                <w:right w:val="none" w:sz="0" w:space="0" w:color="auto"/>
              </w:divBdr>
              <w:divsChild>
                <w:div w:id="16481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4284">
          <w:marLeft w:val="0"/>
          <w:marRight w:val="0"/>
          <w:marTop w:val="0"/>
          <w:marBottom w:val="240"/>
          <w:divBdr>
            <w:top w:val="none" w:sz="0" w:space="0" w:color="auto"/>
            <w:left w:val="none" w:sz="0" w:space="0" w:color="auto"/>
            <w:bottom w:val="none" w:sz="0" w:space="0" w:color="auto"/>
            <w:right w:val="none" w:sz="0" w:space="0" w:color="auto"/>
          </w:divBdr>
          <w:divsChild>
            <w:div w:id="736973693">
              <w:marLeft w:val="0"/>
              <w:marRight w:val="0"/>
              <w:marTop w:val="0"/>
              <w:marBottom w:val="0"/>
              <w:divBdr>
                <w:top w:val="none" w:sz="0" w:space="0" w:color="auto"/>
                <w:left w:val="none" w:sz="0" w:space="0" w:color="auto"/>
                <w:bottom w:val="none" w:sz="0" w:space="0" w:color="auto"/>
                <w:right w:val="none" w:sz="0" w:space="0" w:color="auto"/>
              </w:divBdr>
              <w:divsChild>
                <w:div w:id="3388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69802">
      <w:bodyDiv w:val="1"/>
      <w:marLeft w:val="0"/>
      <w:marRight w:val="0"/>
      <w:marTop w:val="0"/>
      <w:marBottom w:val="0"/>
      <w:divBdr>
        <w:top w:val="none" w:sz="0" w:space="0" w:color="auto"/>
        <w:left w:val="none" w:sz="0" w:space="0" w:color="auto"/>
        <w:bottom w:val="none" w:sz="0" w:space="0" w:color="auto"/>
        <w:right w:val="none" w:sz="0" w:space="0" w:color="auto"/>
      </w:divBdr>
    </w:div>
    <w:div w:id="16850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is-buecherecke.ch/pdf_neben_dem_krieg/potsdamer_abkommen.pdf" TargetMode="External"/><Relationship Id="rId13" Type="http://schemas.openxmlformats.org/officeDocument/2006/relationships/hyperlink" Target="https://www.bundestag.de/presse/hib/565650-565650" TargetMode="External"/><Relationship Id="rId3" Type="http://schemas.microsoft.com/office/2007/relationships/stylesWithEffects" Target="stylesWithEffects.xml"/><Relationship Id="rId7" Type="http://schemas.openxmlformats.org/officeDocument/2006/relationships/hyperlink" Target="https://www.gesetze-im-internet.de/gg/art_133.html" TargetMode="External"/><Relationship Id="rId12" Type="http://schemas.openxmlformats.org/officeDocument/2006/relationships/hyperlink" Target="https://www.friedensvertrag.org/pdf/lexikon/18punkte/einigung_s089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inioiuris.de/entscheidung/761" TargetMode="External"/><Relationship Id="rId11" Type="http://schemas.openxmlformats.org/officeDocument/2006/relationships/hyperlink" Target="http://www.freiheitistselbstbestimmtesleben.de/pdf/2Bvf1-7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lis-buecherecke.ch/pdf_neben_dem_krieg/potsdamer_abkommen.pdf" TargetMode="External"/><Relationship Id="rId4" Type="http://schemas.openxmlformats.org/officeDocument/2006/relationships/settings" Target="settings.xml"/><Relationship Id="rId9" Type="http://schemas.openxmlformats.org/officeDocument/2006/relationships/hyperlink" Target="https://www.friedensvertrag.org/pdf/lexikon/18punkte/einigung_s0890.pdf"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5944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dc:creator>
  <cp:lastModifiedBy>Renate</cp:lastModifiedBy>
  <cp:revision>3</cp:revision>
  <dcterms:created xsi:type="dcterms:W3CDTF">2021-03-28T07:52:00Z</dcterms:created>
  <dcterms:modified xsi:type="dcterms:W3CDTF">2021-04-01T19:28:00Z</dcterms:modified>
</cp:coreProperties>
</file>